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3731A" w14:textId="5D7A3FFD" w:rsidR="00383279" w:rsidRPr="000B479E" w:rsidRDefault="00EB6884" w:rsidP="00D40B0A">
      <w:pPr>
        <w:spacing w:after="0"/>
        <w:jc w:val="center"/>
        <w:rPr>
          <w:b/>
          <w:sz w:val="36"/>
          <w:szCs w:val="36"/>
        </w:rPr>
      </w:pPr>
      <w:r w:rsidRPr="000B479E">
        <w:rPr>
          <w:b/>
          <w:sz w:val="36"/>
          <w:szCs w:val="36"/>
        </w:rPr>
        <w:t>Lead School Prospectus</w:t>
      </w:r>
    </w:p>
    <w:p w14:paraId="35F5C65F" w14:textId="031D84C0" w:rsidR="000B479E" w:rsidRPr="000B479E" w:rsidRDefault="000B479E" w:rsidP="00D40B0A">
      <w:pPr>
        <w:spacing w:after="0"/>
        <w:jc w:val="center"/>
        <w:rPr>
          <w:b/>
          <w:sz w:val="36"/>
          <w:szCs w:val="36"/>
        </w:rPr>
      </w:pPr>
      <w:r w:rsidRPr="000B479E">
        <w:rPr>
          <w:b/>
          <w:sz w:val="36"/>
          <w:szCs w:val="36"/>
        </w:rPr>
        <w:t>Health &amp; Wellbeing Schools</w:t>
      </w:r>
    </w:p>
    <w:p w14:paraId="187BC58B" w14:textId="144B2B29" w:rsidR="00EB6884" w:rsidRPr="00383279" w:rsidRDefault="00EB6884" w:rsidP="00D40B0A">
      <w:pPr>
        <w:spacing w:after="0"/>
        <w:rPr>
          <w:b/>
          <w:sz w:val="56"/>
          <w:szCs w:val="56"/>
        </w:rPr>
      </w:pPr>
      <w:r w:rsidRPr="003E7EC1">
        <w:rPr>
          <w:sz w:val="32"/>
          <w:szCs w:val="32"/>
        </w:rPr>
        <w:t>Our Goal:</w:t>
      </w:r>
    </w:p>
    <w:p w14:paraId="5F562B67" w14:textId="652072C1" w:rsidR="003E7EC1" w:rsidRPr="003E7EC1" w:rsidRDefault="00F625D1" w:rsidP="00D40B0A">
      <w:pPr>
        <w:spacing w:after="0"/>
      </w:pPr>
      <w:r>
        <w:t>Create</w:t>
      </w:r>
      <w:r w:rsidR="003E7EC1">
        <w:t xml:space="preserve"> a</w:t>
      </w:r>
      <w:r>
        <w:t xml:space="preserve"> national movement of </w:t>
      </w:r>
      <w:r w:rsidR="003E7EC1">
        <w:t>schools</w:t>
      </w:r>
      <w:r>
        <w:t xml:space="preserve"> that drive individual and whole school improvement through the different specialist areas of; </w:t>
      </w:r>
      <w:r w:rsidR="000B479E">
        <w:t>I</w:t>
      </w:r>
      <w:r>
        <w:t xml:space="preserve">nclusion, </w:t>
      </w:r>
      <w:r w:rsidR="00383279">
        <w:t>Leadership, Coaching &amp; Volunteering</w:t>
      </w:r>
      <w:r>
        <w:t xml:space="preserve">, </w:t>
      </w:r>
      <w:r w:rsidR="00164ECB">
        <w:t>Health and Wellbeing</w:t>
      </w:r>
      <w:r>
        <w:t xml:space="preserve"> that are </w:t>
      </w:r>
      <w:r w:rsidR="003E7EC1" w:rsidRPr="003E7EC1">
        <w:t xml:space="preserve">formally aligned to the Youth Sport Trust and positioned to support our mission </w:t>
      </w:r>
    </w:p>
    <w:p w14:paraId="553F83B9" w14:textId="77777777" w:rsidR="000B479E" w:rsidRDefault="000B479E" w:rsidP="00D40B0A">
      <w:pPr>
        <w:spacing w:after="0"/>
        <w:rPr>
          <w:sz w:val="32"/>
          <w:szCs w:val="32"/>
        </w:rPr>
      </w:pPr>
    </w:p>
    <w:p w14:paraId="548FECE6" w14:textId="7A8ED99E" w:rsidR="00383279" w:rsidRDefault="00EB6884" w:rsidP="00D40B0A">
      <w:pPr>
        <w:spacing w:after="0"/>
        <w:rPr>
          <w:sz w:val="32"/>
          <w:szCs w:val="32"/>
        </w:rPr>
      </w:pPr>
      <w:r w:rsidRPr="003E7EC1">
        <w:rPr>
          <w:sz w:val="32"/>
          <w:szCs w:val="32"/>
        </w:rPr>
        <w:t>Our Ambition</w:t>
      </w:r>
      <w:r w:rsidR="003E7EC1" w:rsidRPr="003E7EC1">
        <w:rPr>
          <w:sz w:val="32"/>
          <w:szCs w:val="32"/>
        </w:rPr>
        <w:t>s</w:t>
      </w:r>
      <w:r w:rsidRPr="003E7EC1">
        <w:rPr>
          <w:sz w:val="32"/>
          <w:szCs w:val="32"/>
        </w:rPr>
        <w:t>:</w:t>
      </w:r>
    </w:p>
    <w:p w14:paraId="374EBE7B" w14:textId="4DA1D5B2" w:rsidR="00EB6884" w:rsidRPr="00383279" w:rsidRDefault="00EB6884" w:rsidP="00D40B0A">
      <w:pPr>
        <w:spacing w:after="0"/>
        <w:rPr>
          <w:sz w:val="32"/>
          <w:szCs w:val="32"/>
        </w:rPr>
      </w:pPr>
      <w:r>
        <w:t>Through this infrastructure of specialist lead schools, we aim to create a strategic appro</w:t>
      </w:r>
      <w:r w:rsidR="003E7EC1">
        <w:t xml:space="preserve">ach to innovation, </w:t>
      </w:r>
      <w:r>
        <w:t>concept development</w:t>
      </w:r>
      <w:r w:rsidR="003E7EC1">
        <w:t xml:space="preserve"> and delivery.  We have 4 clear ambitions:</w:t>
      </w:r>
    </w:p>
    <w:p w14:paraId="62EE5258" w14:textId="77777777" w:rsidR="006627C3" w:rsidRPr="00EB6884" w:rsidRDefault="00D2208B" w:rsidP="00D40B0A">
      <w:pPr>
        <w:numPr>
          <w:ilvl w:val="0"/>
          <w:numId w:val="1"/>
        </w:numPr>
        <w:spacing w:after="0"/>
      </w:pPr>
      <w:r w:rsidRPr="00EB6884">
        <w:t>Demonstrate the value of H</w:t>
      </w:r>
      <w:r w:rsidR="003E7EC1">
        <w:t xml:space="preserve">ealth and </w:t>
      </w:r>
      <w:r w:rsidRPr="00EB6884">
        <w:t>W</w:t>
      </w:r>
      <w:r w:rsidR="003E7EC1">
        <w:t>ellbeing</w:t>
      </w:r>
      <w:r w:rsidRPr="00EB6884">
        <w:t xml:space="preserve">, PE, sport, inclusion and achievement within whole school and/or community contexts </w:t>
      </w:r>
    </w:p>
    <w:p w14:paraId="6BD9D5C1" w14:textId="3153DA81" w:rsidR="006627C3" w:rsidRPr="00EB6884" w:rsidRDefault="00D2208B" w:rsidP="00D40B0A">
      <w:pPr>
        <w:numPr>
          <w:ilvl w:val="0"/>
          <w:numId w:val="1"/>
        </w:numPr>
        <w:spacing w:after="0"/>
      </w:pPr>
      <w:r w:rsidRPr="00EB6884">
        <w:t>Advocate the impact of the specialist area</w:t>
      </w:r>
      <w:r w:rsidR="00EB6884">
        <w:t>(s)</w:t>
      </w:r>
      <w:r w:rsidRPr="00EB6884">
        <w:t xml:space="preserve"> on young people</w:t>
      </w:r>
      <w:r w:rsidR="00EB6884">
        <w:t>’</w:t>
      </w:r>
      <w:r w:rsidRPr="00EB6884">
        <w:t xml:space="preserve">s </w:t>
      </w:r>
      <w:r w:rsidR="000B479E">
        <w:t>physical and mental health, inclusion, character and leadership</w:t>
      </w:r>
      <w:r w:rsidR="00EB6884">
        <w:t xml:space="preserve"> </w:t>
      </w:r>
    </w:p>
    <w:p w14:paraId="1EEA3A83" w14:textId="77777777" w:rsidR="006627C3" w:rsidRPr="00EB6884" w:rsidRDefault="00D2208B" w:rsidP="00D40B0A">
      <w:pPr>
        <w:numPr>
          <w:ilvl w:val="0"/>
          <w:numId w:val="1"/>
        </w:numPr>
        <w:spacing w:after="0"/>
      </w:pPr>
      <w:r w:rsidRPr="00EB6884">
        <w:t>Pioneer school centred innovation, based on action research to influence national strategies and practice</w:t>
      </w:r>
    </w:p>
    <w:p w14:paraId="1AD36E90" w14:textId="77777777" w:rsidR="006627C3" w:rsidRPr="00EB6884" w:rsidRDefault="00EB6884" w:rsidP="00D40B0A">
      <w:pPr>
        <w:numPr>
          <w:ilvl w:val="0"/>
          <w:numId w:val="1"/>
        </w:numPr>
        <w:spacing w:after="0"/>
      </w:pPr>
      <w:r>
        <w:t>Develop, t</w:t>
      </w:r>
      <w:r w:rsidR="00D2208B" w:rsidRPr="00EB6884">
        <w:t xml:space="preserve">est </w:t>
      </w:r>
      <w:r>
        <w:t>and d</w:t>
      </w:r>
      <w:r w:rsidR="00D2208B" w:rsidRPr="00EB6884">
        <w:t>eliver specialist interventions and learning that create transformational change in schools and communities</w:t>
      </w:r>
    </w:p>
    <w:p w14:paraId="1129BDE4" w14:textId="77777777" w:rsidR="000B479E" w:rsidRDefault="000B479E" w:rsidP="00D40B0A">
      <w:pPr>
        <w:spacing w:after="0"/>
        <w:rPr>
          <w:sz w:val="32"/>
          <w:szCs w:val="32"/>
        </w:rPr>
      </w:pPr>
    </w:p>
    <w:p w14:paraId="1942FE64" w14:textId="241A67FC" w:rsidR="00EB6884" w:rsidRDefault="00EB6884" w:rsidP="00D40B0A">
      <w:pPr>
        <w:spacing w:after="0"/>
      </w:pPr>
      <w:r w:rsidRPr="003E7EC1">
        <w:rPr>
          <w:sz w:val="32"/>
          <w:szCs w:val="32"/>
        </w:rPr>
        <w:t>Our Offer</w:t>
      </w:r>
      <w:r w:rsidR="000B479E">
        <w:rPr>
          <w:sz w:val="32"/>
          <w:szCs w:val="32"/>
        </w:rPr>
        <w:t>:</w:t>
      </w:r>
      <w:r>
        <w:t xml:space="preserve"> (including benefits)</w:t>
      </w:r>
    </w:p>
    <w:p w14:paraId="5DB56D1C" w14:textId="09D47EF8" w:rsidR="003E7EC1" w:rsidRDefault="003E7EC1" w:rsidP="00D40B0A">
      <w:pPr>
        <w:pStyle w:val="ListParagraph"/>
        <w:numPr>
          <w:ilvl w:val="0"/>
          <w:numId w:val="31"/>
        </w:numPr>
        <w:spacing w:after="0"/>
        <w:jc w:val="both"/>
      </w:pPr>
      <w:r>
        <w:t>O</w:t>
      </w:r>
      <w:r w:rsidRPr="000A6E8B">
        <w:t>pportunit</w:t>
      </w:r>
      <w:r>
        <w:t xml:space="preserve">ies </w:t>
      </w:r>
      <w:r w:rsidRPr="000A6E8B">
        <w:t xml:space="preserve">to work nationally with leading experts in </w:t>
      </w:r>
      <w:r w:rsidRPr="00852D63">
        <w:rPr>
          <w:noProof/>
        </w:rPr>
        <w:t>PE,</w:t>
      </w:r>
      <w:r>
        <w:t xml:space="preserve"> school sport and physical activity</w:t>
      </w:r>
      <w:r w:rsidRPr="000A6E8B">
        <w:t xml:space="preserve"> to enhance the health, wellbeing and achievements of students</w:t>
      </w:r>
      <w:r>
        <w:t>.</w:t>
      </w:r>
    </w:p>
    <w:p w14:paraId="51E09F84" w14:textId="65339AD6" w:rsidR="003E7EC1" w:rsidRDefault="003E7EC1" w:rsidP="00D40B0A">
      <w:pPr>
        <w:pStyle w:val="ListParagraph"/>
        <w:numPr>
          <w:ilvl w:val="0"/>
          <w:numId w:val="31"/>
        </w:numPr>
        <w:spacing w:after="0"/>
        <w:jc w:val="both"/>
      </w:pPr>
      <w:r>
        <w:t>National recognition as a pioneering network of schools driving the specialist area(s) forward in England.</w:t>
      </w:r>
    </w:p>
    <w:p w14:paraId="109CAF8A" w14:textId="5B47BB6F" w:rsidR="003E7EC1" w:rsidRDefault="003E7EC1" w:rsidP="00D40B0A">
      <w:pPr>
        <w:pStyle w:val="ListParagraph"/>
        <w:numPr>
          <w:ilvl w:val="0"/>
          <w:numId w:val="31"/>
        </w:numPr>
        <w:spacing w:after="0"/>
        <w:jc w:val="both"/>
      </w:pPr>
      <w:r>
        <w:rPr>
          <w:noProof/>
        </w:rPr>
        <w:t>Direct i</w:t>
      </w:r>
      <w:r w:rsidRPr="00C30A9C">
        <w:rPr>
          <w:noProof/>
        </w:rPr>
        <w:t>nvestment</w:t>
      </w:r>
      <w:r>
        <w:t xml:space="preserve"> </w:t>
      </w:r>
      <w:r w:rsidRPr="000A6E8B">
        <w:rPr>
          <w:noProof/>
        </w:rPr>
        <w:t>in</w:t>
      </w:r>
      <w:r>
        <w:t>to schools through training, resources, equipment and engagement with positive role models (subject to funding)</w:t>
      </w:r>
    </w:p>
    <w:p w14:paraId="6606EE9D" w14:textId="77777777" w:rsidR="00164ECB" w:rsidRDefault="003E7EC1" w:rsidP="00D40B0A">
      <w:pPr>
        <w:pStyle w:val="ListParagraph"/>
        <w:numPr>
          <w:ilvl w:val="0"/>
          <w:numId w:val="31"/>
        </w:numPr>
        <w:spacing w:after="0"/>
        <w:jc w:val="both"/>
      </w:pPr>
      <w:r>
        <w:t>Networking opportunities to share best practice, inspire learning and maximise impact</w:t>
      </w:r>
    </w:p>
    <w:p w14:paraId="32FCE0B1" w14:textId="77777777" w:rsidR="00164ECB" w:rsidRDefault="00164ECB" w:rsidP="00D40B0A">
      <w:pPr>
        <w:pStyle w:val="ListParagraph"/>
        <w:spacing w:after="0"/>
      </w:pPr>
    </w:p>
    <w:p w14:paraId="40FF2EDE" w14:textId="77777777" w:rsidR="000B479E" w:rsidRDefault="000B479E" w:rsidP="00D40B0A">
      <w:pPr>
        <w:spacing w:after="0"/>
        <w:jc w:val="both"/>
      </w:pPr>
    </w:p>
    <w:p w14:paraId="11622FAC" w14:textId="77777777" w:rsidR="000B479E" w:rsidRDefault="000B479E" w:rsidP="00D40B0A">
      <w:pPr>
        <w:spacing w:after="0"/>
        <w:jc w:val="both"/>
      </w:pPr>
    </w:p>
    <w:p w14:paraId="2A44B01B" w14:textId="2413EAF1" w:rsidR="00EB6884" w:rsidRPr="000B479E" w:rsidRDefault="00EB6884" w:rsidP="00D40B0A">
      <w:pPr>
        <w:spacing w:after="0"/>
        <w:jc w:val="both"/>
        <w:rPr>
          <w:sz w:val="32"/>
          <w:szCs w:val="32"/>
        </w:rPr>
      </w:pPr>
      <w:r w:rsidRPr="000B479E">
        <w:rPr>
          <w:sz w:val="32"/>
          <w:szCs w:val="32"/>
        </w:rPr>
        <w:lastRenderedPageBreak/>
        <w:t>Application Process and Criteria</w:t>
      </w:r>
      <w:r w:rsidR="000B479E">
        <w:rPr>
          <w:sz w:val="32"/>
          <w:szCs w:val="32"/>
        </w:rPr>
        <w:t>:</w:t>
      </w:r>
    </w:p>
    <w:p w14:paraId="2B8210EA" w14:textId="28C7CCDB" w:rsidR="00703F76" w:rsidRDefault="00913133" w:rsidP="00D40B0A">
      <w:pPr>
        <w:pStyle w:val="NoSpacing"/>
        <w:spacing w:line="276" w:lineRule="auto"/>
        <w:rPr>
          <w:rFonts w:cs="Arial"/>
        </w:rPr>
      </w:pPr>
      <w:r w:rsidRPr="00FB4663">
        <w:rPr>
          <w:rFonts w:cs="Arial"/>
        </w:rPr>
        <w:t>The purpose of t</w:t>
      </w:r>
      <w:r w:rsidR="00703F76">
        <w:rPr>
          <w:rFonts w:cs="Arial"/>
        </w:rPr>
        <w:t>he</w:t>
      </w:r>
      <w:r w:rsidRPr="00FB4663">
        <w:rPr>
          <w:rFonts w:cs="Arial"/>
        </w:rPr>
        <w:t xml:space="preserve"> </w:t>
      </w:r>
      <w:r w:rsidR="00703F76">
        <w:rPr>
          <w:rFonts w:cs="Arial"/>
        </w:rPr>
        <w:t>following sections is to</w:t>
      </w:r>
      <w:r w:rsidRPr="00FB4663">
        <w:rPr>
          <w:rFonts w:cs="Arial"/>
        </w:rPr>
        <w:t xml:space="preserve"> highligh</w:t>
      </w:r>
      <w:r w:rsidR="00703F76">
        <w:rPr>
          <w:rFonts w:cs="Arial"/>
        </w:rPr>
        <w:t xml:space="preserve">t key deliverables that YST </w:t>
      </w:r>
      <w:r>
        <w:rPr>
          <w:rFonts w:cs="Arial"/>
        </w:rPr>
        <w:t xml:space="preserve">Lead </w:t>
      </w:r>
      <w:r w:rsidR="00DE5EAE">
        <w:rPr>
          <w:rFonts w:cs="Arial"/>
        </w:rPr>
        <w:t>Health &amp; Wellbeing</w:t>
      </w:r>
      <w:r w:rsidRPr="00FB4663">
        <w:rPr>
          <w:rFonts w:cs="Arial"/>
        </w:rPr>
        <w:t xml:space="preserve"> </w:t>
      </w:r>
      <w:r>
        <w:rPr>
          <w:rFonts w:cs="Arial"/>
        </w:rPr>
        <w:t>S</w:t>
      </w:r>
      <w:r w:rsidRPr="00FB4663">
        <w:rPr>
          <w:rFonts w:cs="Arial"/>
        </w:rPr>
        <w:t>chool</w:t>
      </w:r>
      <w:r w:rsidR="00DE5EAE">
        <w:rPr>
          <w:rFonts w:cs="Arial"/>
        </w:rPr>
        <w:t>s</w:t>
      </w:r>
      <w:r w:rsidRPr="00FB4663">
        <w:rPr>
          <w:rFonts w:cs="Arial"/>
        </w:rPr>
        <w:t xml:space="preserve"> </w:t>
      </w:r>
      <w:r w:rsidR="00703F76">
        <w:rPr>
          <w:rFonts w:cs="Arial"/>
        </w:rPr>
        <w:t>will be required to fulfill</w:t>
      </w:r>
      <w:r w:rsidR="00DE5EAE">
        <w:rPr>
          <w:rFonts w:cs="Arial"/>
        </w:rPr>
        <w:t>.</w:t>
      </w:r>
    </w:p>
    <w:p w14:paraId="37CF9F20" w14:textId="77777777" w:rsidR="00913133" w:rsidRPr="00D762A6" w:rsidRDefault="00913133" w:rsidP="00D40B0A">
      <w:pPr>
        <w:pStyle w:val="NoSpacing"/>
        <w:spacing w:line="276" w:lineRule="auto"/>
        <w:rPr>
          <w:rFonts w:cs="Arial"/>
          <w:color w:val="00B0F0"/>
        </w:rPr>
      </w:pPr>
    </w:p>
    <w:p w14:paraId="3318585B" w14:textId="2B03FCBF" w:rsidR="00913133" w:rsidRDefault="00913133" w:rsidP="00D40B0A">
      <w:pPr>
        <w:pStyle w:val="NoSpacing"/>
        <w:pBdr>
          <w:bottom w:val="single" w:sz="12" w:space="1" w:color="auto"/>
        </w:pBdr>
        <w:spacing w:line="276" w:lineRule="auto"/>
        <w:rPr>
          <w:rFonts w:cs="Arial"/>
          <w:b/>
        </w:rPr>
      </w:pPr>
      <w:r w:rsidRPr="00FB4663">
        <w:rPr>
          <w:rFonts w:cs="Arial"/>
          <w:b/>
        </w:rPr>
        <w:t>THE COMPULSORY EXPE</w:t>
      </w:r>
      <w:r>
        <w:rPr>
          <w:rFonts w:cs="Arial"/>
          <w:b/>
        </w:rPr>
        <w:t>CTATIONS OF</w:t>
      </w:r>
      <w:r w:rsidR="005209EC">
        <w:rPr>
          <w:rFonts w:cs="Arial"/>
          <w:b/>
        </w:rPr>
        <w:t xml:space="preserve"> A</w:t>
      </w:r>
      <w:r>
        <w:rPr>
          <w:rFonts w:cs="Arial"/>
          <w:b/>
        </w:rPr>
        <w:t xml:space="preserve"> YST LEAD </w:t>
      </w:r>
      <w:r w:rsidR="00DE5EAE">
        <w:rPr>
          <w:rFonts w:cs="Arial"/>
          <w:b/>
        </w:rPr>
        <w:t>HEALTH AND WELLBEING</w:t>
      </w:r>
      <w:r>
        <w:rPr>
          <w:rFonts w:cs="Arial"/>
          <w:b/>
        </w:rPr>
        <w:t xml:space="preserve"> SCHOOL</w:t>
      </w:r>
      <w:r w:rsidR="00DE5EAE">
        <w:rPr>
          <w:rFonts w:cs="Arial"/>
          <w:b/>
        </w:rPr>
        <w:t xml:space="preserve"> 2021-22</w:t>
      </w:r>
    </w:p>
    <w:p w14:paraId="7CA5BB1E" w14:textId="77777777" w:rsidR="00DE5EAE" w:rsidRPr="00DE5EAE" w:rsidRDefault="00DE5EAE" w:rsidP="00D40B0A">
      <w:pPr>
        <w:pStyle w:val="NoSpacing"/>
        <w:spacing w:line="276" w:lineRule="auto"/>
        <w:rPr>
          <w:rFonts w:cs="Arial"/>
          <w:bCs/>
        </w:rPr>
      </w:pPr>
      <w:r w:rsidRPr="00DE5EAE">
        <w:rPr>
          <w:rFonts w:cs="Arial"/>
          <w:bCs/>
        </w:rPr>
        <w:t>1.</w:t>
      </w:r>
      <w:r w:rsidRPr="00DE5EAE">
        <w:rPr>
          <w:rFonts w:cs="Arial"/>
          <w:bCs/>
        </w:rPr>
        <w:tab/>
        <w:t>Showcasing excellent practice in the delivery of health-related programmes with public health locally</w:t>
      </w:r>
    </w:p>
    <w:p w14:paraId="7D0863E8" w14:textId="77777777" w:rsidR="00DE5EAE" w:rsidRPr="00DE5EAE" w:rsidRDefault="00DE5EAE" w:rsidP="00D40B0A">
      <w:pPr>
        <w:pStyle w:val="NoSpacing"/>
        <w:spacing w:line="276" w:lineRule="auto"/>
        <w:rPr>
          <w:rFonts w:cs="Arial"/>
          <w:bCs/>
        </w:rPr>
      </w:pPr>
      <w:r w:rsidRPr="00DE5EAE">
        <w:rPr>
          <w:rFonts w:cs="Arial"/>
          <w:bCs/>
        </w:rPr>
        <w:t>2.</w:t>
      </w:r>
      <w:r w:rsidRPr="00DE5EAE">
        <w:rPr>
          <w:rFonts w:cs="Arial"/>
          <w:bCs/>
        </w:rPr>
        <w:tab/>
        <w:t>Provide targeted support for new schools delivering Active in Mind</w:t>
      </w:r>
    </w:p>
    <w:p w14:paraId="45EDBEC8" w14:textId="77777777" w:rsidR="00DE5EAE" w:rsidRPr="00DE5EAE" w:rsidRDefault="00DE5EAE" w:rsidP="00D40B0A">
      <w:pPr>
        <w:pStyle w:val="NoSpacing"/>
        <w:spacing w:line="276" w:lineRule="auto"/>
        <w:rPr>
          <w:rFonts w:cs="Arial"/>
          <w:bCs/>
        </w:rPr>
      </w:pPr>
      <w:r w:rsidRPr="00DE5EAE">
        <w:rPr>
          <w:rFonts w:cs="Arial"/>
          <w:bCs/>
        </w:rPr>
        <w:t>3.</w:t>
      </w:r>
      <w:r w:rsidRPr="00DE5EAE">
        <w:rPr>
          <w:rFonts w:cs="Arial"/>
          <w:bCs/>
        </w:rPr>
        <w:tab/>
        <w:t>Deliver CPD to a minimum of 5 schools in your local area to embed the principles and learning from Active in Mind</w:t>
      </w:r>
    </w:p>
    <w:p w14:paraId="4CBCD01A" w14:textId="77777777" w:rsidR="00DE5EAE" w:rsidRPr="00DE5EAE" w:rsidRDefault="00DE5EAE" w:rsidP="00D40B0A">
      <w:pPr>
        <w:pStyle w:val="NoSpacing"/>
        <w:spacing w:line="276" w:lineRule="auto"/>
        <w:ind w:left="720" w:hanging="720"/>
        <w:rPr>
          <w:rFonts w:cs="Arial"/>
          <w:bCs/>
        </w:rPr>
      </w:pPr>
      <w:r w:rsidRPr="00DE5EAE">
        <w:rPr>
          <w:rFonts w:cs="Arial"/>
          <w:bCs/>
        </w:rPr>
        <w:t>4.</w:t>
      </w:r>
      <w:r w:rsidRPr="00DE5EAE">
        <w:rPr>
          <w:rFonts w:cs="Arial"/>
          <w:bCs/>
        </w:rPr>
        <w:tab/>
        <w:t>Attend and review the new Boys Move CPD programme involving a strategic lead for wellbeing attending 6 x 1.5-hour virtual sessions from October 2021 to February 2022</w:t>
      </w:r>
    </w:p>
    <w:p w14:paraId="0288604C" w14:textId="77777777" w:rsidR="00DE5EAE" w:rsidRPr="00DE5EAE" w:rsidRDefault="00DE5EAE" w:rsidP="00D40B0A">
      <w:pPr>
        <w:pStyle w:val="NoSpacing"/>
        <w:spacing w:line="276" w:lineRule="auto"/>
        <w:rPr>
          <w:rFonts w:cs="Arial"/>
          <w:bCs/>
        </w:rPr>
      </w:pPr>
      <w:r w:rsidRPr="00DE5EAE">
        <w:rPr>
          <w:rFonts w:cs="Arial"/>
          <w:bCs/>
        </w:rPr>
        <w:t>5.</w:t>
      </w:r>
      <w:r w:rsidRPr="00DE5EAE">
        <w:rPr>
          <w:rFonts w:cs="Arial"/>
          <w:bCs/>
        </w:rPr>
        <w:tab/>
        <w:t>Attend one face-to-face (autumn) and one virtual (spring) Lead School networking event</w:t>
      </w:r>
    </w:p>
    <w:p w14:paraId="44E2F7D6" w14:textId="77777777" w:rsidR="00DE5EAE" w:rsidRPr="00DE5EAE" w:rsidRDefault="00DE5EAE" w:rsidP="00D40B0A">
      <w:pPr>
        <w:pStyle w:val="NoSpacing"/>
        <w:spacing w:line="276" w:lineRule="auto"/>
        <w:rPr>
          <w:rFonts w:cs="Arial"/>
          <w:bCs/>
        </w:rPr>
      </w:pPr>
      <w:r w:rsidRPr="00DE5EAE">
        <w:rPr>
          <w:rFonts w:cs="Arial"/>
          <w:bCs/>
        </w:rPr>
        <w:t>6.</w:t>
      </w:r>
      <w:r w:rsidRPr="00DE5EAE">
        <w:rPr>
          <w:rFonts w:cs="Arial"/>
          <w:bCs/>
        </w:rPr>
        <w:tab/>
        <w:t>Review and demonstrate the impact of Active in Mind CPD delivery</w:t>
      </w:r>
    </w:p>
    <w:p w14:paraId="524A975F" w14:textId="77777777" w:rsidR="00DE5EAE" w:rsidRPr="00DE5EAE" w:rsidRDefault="00DE5EAE" w:rsidP="00D40B0A">
      <w:pPr>
        <w:pStyle w:val="NoSpacing"/>
        <w:spacing w:line="276" w:lineRule="auto"/>
        <w:rPr>
          <w:rFonts w:cs="Arial"/>
          <w:bCs/>
        </w:rPr>
      </w:pPr>
      <w:r w:rsidRPr="00DE5EAE">
        <w:rPr>
          <w:rFonts w:cs="Arial"/>
          <w:bCs/>
        </w:rPr>
        <w:t>7.</w:t>
      </w:r>
      <w:r w:rsidRPr="00DE5EAE">
        <w:rPr>
          <w:rFonts w:cs="Arial"/>
          <w:bCs/>
        </w:rPr>
        <w:tab/>
        <w:t>Review and demonstrate impact of Boys Move CPD opportunity</w:t>
      </w:r>
    </w:p>
    <w:p w14:paraId="48026AB5" w14:textId="129E050F" w:rsidR="00913133" w:rsidRPr="00DE5EAE" w:rsidRDefault="00DE5EAE" w:rsidP="00D40B0A">
      <w:pPr>
        <w:pStyle w:val="NoSpacing"/>
        <w:spacing w:line="276" w:lineRule="auto"/>
        <w:rPr>
          <w:rFonts w:cs="Arial"/>
          <w:bCs/>
        </w:rPr>
      </w:pPr>
      <w:r w:rsidRPr="00DE5EAE">
        <w:rPr>
          <w:rFonts w:cs="Arial"/>
          <w:bCs/>
        </w:rPr>
        <w:t>8.</w:t>
      </w:r>
      <w:r w:rsidRPr="00DE5EAE">
        <w:rPr>
          <w:rFonts w:cs="Arial"/>
          <w:bCs/>
        </w:rPr>
        <w:tab/>
        <w:t>Advocate for the place of PE and sport in supporting health and wellbeing outcomes in your locality plans and partnerships.</w:t>
      </w:r>
    </w:p>
    <w:p w14:paraId="66C854E8" w14:textId="77777777" w:rsidR="00913133" w:rsidRDefault="00913133" w:rsidP="00D40B0A">
      <w:pPr>
        <w:spacing w:after="0"/>
        <w:rPr>
          <w:rFonts w:cs="Arial"/>
        </w:rPr>
      </w:pPr>
    </w:p>
    <w:p w14:paraId="7DF93F79" w14:textId="79501B94" w:rsidR="00913133" w:rsidRDefault="00913133" w:rsidP="00D40B0A">
      <w:pPr>
        <w:pBdr>
          <w:bottom w:val="single" w:sz="12" w:space="15" w:color="auto"/>
        </w:pBdr>
        <w:spacing w:after="0"/>
        <w:jc w:val="both"/>
        <w:rPr>
          <w:b/>
        </w:rPr>
      </w:pPr>
      <w:r w:rsidRPr="00E80D16">
        <w:rPr>
          <w:b/>
        </w:rPr>
        <w:t>CONTEXT</w:t>
      </w:r>
      <w:r>
        <w:rPr>
          <w:b/>
        </w:rPr>
        <w:t xml:space="preserve"> FOR THE 20</w:t>
      </w:r>
      <w:r w:rsidR="00164ECB">
        <w:rPr>
          <w:b/>
        </w:rPr>
        <w:t>2</w:t>
      </w:r>
      <w:r w:rsidR="007D3730">
        <w:rPr>
          <w:b/>
        </w:rPr>
        <w:t>1</w:t>
      </w:r>
      <w:r>
        <w:rPr>
          <w:b/>
        </w:rPr>
        <w:t>/</w:t>
      </w:r>
      <w:r w:rsidR="00164ECB">
        <w:rPr>
          <w:b/>
        </w:rPr>
        <w:t>2</w:t>
      </w:r>
      <w:r w:rsidR="007D3730">
        <w:rPr>
          <w:b/>
        </w:rPr>
        <w:t>2</w:t>
      </w:r>
      <w:r>
        <w:rPr>
          <w:b/>
        </w:rPr>
        <w:t xml:space="preserve"> CORE DELIVERY OFFER</w:t>
      </w:r>
    </w:p>
    <w:p w14:paraId="549EF3CA" w14:textId="77777777" w:rsidR="00D40B0A" w:rsidRDefault="005209EC" w:rsidP="00D40B0A">
      <w:pPr>
        <w:pBdr>
          <w:bottom w:val="single" w:sz="12" w:space="15" w:color="auto"/>
        </w:pBdr>
        <w:spacing w:after="0"/>
        <w:jc w:val="both"/>
      </w:pPr>
      <w:r w:rsidRPr="005209EC">
        <w:t xml:space="preserve">The offer is drawn together from </w:t>
      </w:r>
      <w:r w:rsidR="00DE5EAE">
        <w:t xml:space="preserve">two programme funding streams within our Sport England Education funding for September 2021 to March 2022 in line with their new strategy investment plan.  </w:t>
      </w:r>
    </w:p>
    <w:p w14:paraId="7867E08C" w14:textId="77777777" w:rsidR="00D40B0A" w:rsidRDefault="00D40B0A" w:rsidP="00D40B0A">
      <w:pPr>
        <w:pBdr>
          <w:bottom w:val="single" w:sz="12" w:space="15" w:color="auto"/>
        </w:pBdr>
        <w:spacing w:after="0"/>
        <w:jc w:val="both"/>
      </w:pPr>
    </w:p>
    <w:p w14:paraId="3320DF71" w14:textId="5CD3A174" w:rsidR="00913133" w:rsidRDefault="00DE5EAE" w:rsidP="00D40B0A">
      <w:pPr>
        <w:pBdr>
          <w:bottom w:val="single" w:sz="12" w:space="15" w:color="auto"/>
        </w:pBdr>
        <w:spacing w:after="0"/>
        <w:jc w:val="both"/>
      </w:pPr>
      <w:r w:rsidRPr="00DE5EAE">
        <w:t xml:space="preserve">Please note we will be awaiting the outcomes of further </w:t>
      </w:r>
      <w:r w:rsidR="00D40B0A">
        <w:t>Sport England</w:t>
      </w:r>
      <w:r w:rsidRPr="00DE5EAE">
        <w:t xml:space="preserve"> investment </w:t>
      </w:r>
      <w:r w:rsidR="00D40B0A">
        <w:t xml:space="preserve">for the delivery of Boys Move project plans and expansion of the Boys Move CPD package </w:t>
      </w:r>
      <w:r w:rsidRPr="00DE5EAE">
        <w:t>and will update this offer when further information is available.</w:t>
      </w:r>
      <w:r>
        <w:t xml:space="preserve"> </w:t>
      </w:r>
    </w:p>
    <w:p w14:paraId="0F28B4AA" w14:textId="77777777" w:rsidR="00913133" w:rsidRDefault="00913133" w:rsidP="00D40B0A">
      <w:pPr>
        <w:pBdr>
          <w:bottom w:val="single" w:sz="12" w:space="1" w:color="auto"/>
        </w:pBdr>
        <w:spacing w:after="0"/>
        <w:rPr>
          <w:b/>
        </w:rPr>
      </w:pPr>
    </w:p>
    <w:p w14:paraId="6183DD0B" w14:textId="3C37C5E4" w:rsidR="00383279" w:rsidRDefault="00383279" w:rsidP="00D40B0A">
      <w:pPr>
        <w:pBdr>
          <w:bottom w:val="single" w:sz="12" w:space="1" w:color="auto"/>
        </w:pBdr>
        <w:spacing w:after="0"/>
        <w:rPr>
          <w:rFonts w:cs="Arial"/>
          <w:b/>
        </w:rPr>
      </w:pPr>
    </w:p>
    <w:p w14:paraId="42AF8F86" w14:textId="6421DD65" w:rsidR="005958A3" w:rsidRDefault="005958A3" w:rsidP="00D40B0A">
      <w:pPr>
        <w:pBdr>
          <w:bottom w:val="single" w:sz="12" w:space="1" w:color="auto"/>
        </w:pBdr>
        <w:spacing w:after="0"/>
        <w:rPr>
          <w:rFonts w:cs="Arial"/>
          <w:b/>
        </w:rPr>
      </w:pPr>
    </w:p>
    <w:p w14:paraId="0237641B" w14:textId="22080F51" w:rsidR="005958A3" w:rsidRDefault="005958A3" w:rsidP="00D40B0A">
      <w:pPr>
        <w:pBdr>
          <w:bottom w:val="single" w:sz="12" w:space="1" w:color="auto"/>
        </w:pBdr>
        <w:spacing w:after="0"/>
        <w:rPr>
          <w:rFonts w:cs="Arial"/>
          <w:b/>
        </w:rPr>
      </w:pPr>
    </w:p>
    <w:p w14:paraId="2A40500D" w14:textId="004BC0FE" w:rsidR="005958A3" w:rsidRDefault="005958A3" w:rsidP="00D40B0A">
      <w:pPr>
        <w:pBdr>
          <w:bottom w:val="single" w:sz="12" w:space="1" w:color="auto"/>
        </w:pBdr>
        <w:spacing w:after="0"/>
        <w:rPr>
          <w:rFonts w:cs="Arial"/>
          <w:b/>
        </w:rPr>
      </w:pPr>
    </w:p>
    <w:p w14:paraId="75378193" w14:textId="6D72D22C" w:rsidR="005958A3" w:rsidRDefault="005958A3" w:rsidP="00D40B0A">
      <w:pPr>
        <w:pBdr>
          <w:bottom w:val="single" w:sz="12" w:space="1" w:color="auto"/>
        </w:pBdr>
        <w:spacing w:after="0"/>
        <w:rPr>
          <w:rFonts w:cs="Arial"/>
          <w:b/>
        </w:rPr>
      </w:pPr>
    </w:p>
    <w:p w14:paraId="7CC15AB7" w14:textId="10CAD26F" w:rsidR="00383279" w:rsidRPr="00165950" w:rsidRDefault="00383279" w:rsidP="00D40B0A">
      <w:pPr>
        <w:pBdr>
          <w:bottom w:val="single" w:sz="12" w:space="1" w:color="auto"/>
        </w:pBdr>
        <w:spacing w:after="0"/>
        <w:rPr>
          <w:rFonts w:cs="Arial"/>
          <w:b/>
        </w:rPr>
      </w:pPr>
      <w:r w:rsidRPr="00165950">
        <w:rPr>
          <w:rFonts w:cs="Arial"/>
          <w:b/>
        </w:rPr>
        <w:t>CORE OFFER</w:t>
      </w:r>
      <w:r w:rsidR="005958A3">
        <w:rPr>
          <w:rFonts w:cs="Arial"/>
          <w:b/>
        </w:rPr>
        <w:t xml:space="preserve"> FOR HEALTH &amp; WELLBEING SCHOOLS 2021-22</w:t>
      </w:r>
    </w:p>
    <w:p w14:paraId="6D0A46FE" w14:textId="77777777" w:rsidR="005958A3" w:rsidRDefault="005958A3" w:rsidP="00D40B0A">
      <w:pPr>
        <w:spacing w:after="0"/>
        <w:jc w:val="both"/>
        <w:rPr>
          <w:rFonts w:cstheme="minorHAnsi"/>
          <w:b/>
          <w:u w:val="single"/>
        </w:rPr>
      </w:pPr>
    </w:p>
    <w:p w14:paraId="53116675" w14:textId="544871C6" w:rsidR="00383279" w:rsidRDefault="00383279" w:rsidP="00D40B0A">
      <w:pPr>
        <w:spacing w:after="0"/>
        <w:jc w:val="both"/>
        <w:rPr>
          <w:rFonts w:cstheme="minorHAnsi"/>
        </w:rPr>
      </w:pPr>
      <w:r w:rsidRPr="00165950">
        <w:rPr>
          <w:rFonts w:cstheme="minorHAnsi"/>
        </w:rPr>
        <w:t xml:space="preserve">The below delivery timeline provides guidance to lead </w:t>
      </w:r>
      <w:r w:rsidR="005958A3">
        <w:rPr>
          <w:rFonts w:cstheme="minorHAnsi"/>
        </w:rPr>
        <w:t>Heath &amp; Wellbeing</w:t>
      </w:r>
      <w:r w:rsidRPr="00165950">
        <w:rPr>
          <w:rFonts w:cstheme="minorHAnsi"/>
        </w:rPr>
        <w:t xml:space="preserve"> schools to support planning and review of delivery. There is recognition that many events/pathways are established locally and may fit outside of the below timings – this is accepted but reporting to deadlines are required to ensure funding is secured in the future.</w:t>
      </w:r>
    </w:p>
    <w:p w14:paraId="7A419636" w14:textId="77777777" w:rsidR="005958A3" w:rsidRPr="00165950" w:rsidRDefault="005958A3" w:rsidP="00D40B0A">
      <w:pPr>
        <w:spacing w:after="0"/>
        <w:jc w:val="both"/>
        <w:rPr>
          <w:rFonts w:cstheme="minorHAnsi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6662"/>
        <w:gridCol w:w="1984"/>
        <w:gridCol w:w="3261"/>
      </w:tblGrid>
      <w:tr w:rsidR="00D40B0A" w:rsidRPr="00C35A4B" w14:paraId="27D68738" w14:textId="77777777" w:rsidTr="00D40B0A">
        <w:tc>
          <w:tcPr>
            <w:tcW w:w="993" w:type="dxa"/>
          </w:tcPr>
          <w:p w14:paraId="5D9475F6" w14:textId="77777777" w:rsidR="00D40B0A" w:rsidRPr="00165950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b/>
                <w:color w:val="00B0F0"/>
              </w:rPr>
            </w:pPr>
            <w:r w:rsidRPr="00165950">
              <w:rPr>
                <w:rFonts w:eastAsia="Times New Roman"/>
                <w:b/>
                <w:color w:val="00B0F0"/>
              </w:rPr>
              <w:t>Term</w:t>
            </w:r>
          </w:p>
        </w:tc>
        <w:tc>
          <w:tcPr>
            <w:tcW w:w="1134" w:type="dxa"/>
          </w:tcPr>
          <w:p w14:paraId="237E47F1" w14:textId="77777777" w:rsidR="00D40B0A" w:rsidRPr="00165950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b/>
                <w:color w:val="00B0F0"/>
              </w:rPr>
            </w:pPr>
            <w:r w:rsidRPr="00165950">
              <w:rPr>
                <w:rFonts w:eastAsia="Times New Roman"/>
                <w:b/>
                <w:color w:val="00B0F0"/>
              </w:rPr>
              <w:t>Phase</w:t>
            </w:r>
          </w:p>
        </w:tc>
        <w:tc>
          <w:tcPr>
            <w:tcW w:w="6662" w:type="dxa"/>
          </w:tcPr>
          <w:p w14:paraId="3E9ABFC5" w14:textId="77777777" w:rsidR="00D40B0A" w:rsidRPr="00165950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b/>
                <w:color w:val="00B0F0"/>
              </w:rPr>
            </w:pPr>
            <w:r w:rsidRPr="00165950">
              <w:rPr>
                <w:rFonts w:eastAsia="Times New Roman"/>
                <w:b/>
                <w:color w:val="00B0F0"/>
              </w:rPr>
              <w:t>YST Guidelines and Project Ability Lead Actions</w:t>
            </w:r>
          </w:p>
        </w:tc>
        <w:tc>
          <w:tcPr>
            <w:tcW w:w="1984" w:type="dxa"/>
          </w:tcPr>
          <w:p w14:paraId="2D533F2B" w14:textId="3197B7D3" w:rsidR="00D40B0A" w:rsidRPr="00165950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b/>
                <w:color w:val="00B0F0"/>
              </w:rPr>
            </w:pPr>
            <w:r>
              <w:rPr>
                <w:rFonts w:eastAsia="Times New Roman"/>
                <w:b/>
                <w:color w:val="00B0F0"/>
              </w:rPr>
              <w:t>Resource</w:t>
            </w:r>
          </w:p>
        </w:tc>
        <w:tc>
          <w:tcPr>
            <w:tcW w:w="3261" w:type="dxa"/>
          </w:tcPr>
          <w:p w14:paraId="51BBAC87" w14:textId="01336FC3" w:rsidR="00D40B0A" w:rsidRPr="00165950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b/>
                <w:color w:val="00B0F0"/>
              </w:rPr>
            </w:pPr>
            <w:r w:rsidRPr="00165950">
              <w:rPr>
                <w:rFonts w:eastAsia="Times New Roman"/>
                <w:b/>
                <w:color w:val="00B0F0"/>
              </w:rPr>
              <w:t>Key Dates (where applicable)</w:t>
            </w:r>
          </w:p>
        </w:tc>
      </w:tr>
      <w:tr w:rsidR="00D40B0A" w:rsidRPr="00C35A4B" w14:paraId="2BBA6448" w14:textId="77777777" w:rsidTr="00D40B0A">
        <w:trPr>
          <w:trHeight w:val="280"/>
        </w:trPr>
        <w:tc>
          <w:tcPr>
            <w:tcW w:w="993" w:type="dxa"/>
            <w:vMerge w:val="restart"/>
            <w:vAlign w:val="center"/>
          </w:tcPr>
          <w:p w14:paraId="6C0E3074" w14:textId="18C3F736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Autumn 2021</w:t>
            </w:r>
          </w:p>
        </w:tc>
        <w:tc>
          <w:tcPr>
            <w:tcW w:w="1134" w:type="dxa"/>
            <w:vMerge w:val="restart"/>
            <w:vAlign w:val="center"/>
          </w:tcPr>
          <w:p w14:paraId="7765CC6C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Delivery and Review</w:t>
            </w:r>
          </w:p>
        </w:tc>
        <w:tc>
          <w:tcPr>
            <w:tcW w:w="6662" w:type="dxa"/>
            <w:vAlign w:val="center"/>
          </w:tcPr>
          <w:p w14:paraId="176035DC" w14:textId="65AA26FD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Attendance at national Lead School CPD and networking day (depending on location of school)</w:t>
            </w:r>
          </w:p>
        </w:tc>
        <w:tc>
          <w:tcPr>
            <w:tcW w:w="1984" w:type="dxa"/>
            <w:vAlign w:val="center"/>
          </w:tcPr>
          <w:p w14:paraId="57D24831" w14:textId="1D59FAA9" w:rsidR="00D40B0A" w:rsidRPr="00D40B0A" w:rsidRDefault="00D40B0A" w:rsidP="00D40B0A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Free</w:t>
            </w:r>
          </w:p>
        </w:tc>
        <w:tc>
          <w:tcPr>
            <w:tcW w:w="3261" w:type="dxa"/>
            <w:vAlign w:val="center"/>
          </w:tcPr>
          <w:p w14:paraId="19E0B70C" w14:textId="6DAB185B" w:rsidR="00D40B0A" w:rsidRPr="00D40B0A" w:rsidRDefault="00D40B0A" w:rsidP="00D40B0A">
            <w:pPr>
              <w:spacing w:after="0"/>
              <w:rPr>
                <w:sz w:val="20"/>
                <w:szCs w:val="20"/>
              </w:rPr>
            </w:pPr>
            <w:r w:rsidRPr="00D40B0A">
              <w:rPr>
                <w:sz w:val="20"/>
                <w:szCs w:val="20"/>
              </w:rPr>
              <w:t>28</w:t>
            </w:r>
            <w:r w:rsidRPr="00D40B0A">
              <w:rPr>
                <w:sz w:val="20"/>
                <w:szCs w:val="20"/>
                <w:vertAlign w:val="superscript"/>
              </w:rPr>
              <w:t>th</w:t>
            </w:r>
            <w:r w:rsidRPr="00D40B0A">
              <w:rPr>
                <w:sz w:val="20"/>
                <w:szCs w:val="20"/>
              </w:rPr>
              <w:t xml:space="preserve"> September Twickenham (South)</w:t>
            </w:r>
          </w:p>
          <w:p w14:paraId="5CDB1270" w14:textId="24536BF2" w:rsidR="00D40B0A" w:rsidRPr="00D40B0A" w:rsidRDefault="00D40B0A" w:rsidP="00D40B0A">
            <w:pPr>
              <w:spacing w:after="0"/>
              <w:rPr>
                <w:sz w:val="20"/>
                <w:szCs w:val="20"/>
              </w:rPr>
            </w:pPr>
            <w:r w:rsidRPr="00D40B0A">
              <w:rPr>
                <w:sz w:val="20"/>
                <w:szCs w:val="20"/>
              </w:rPr>
              <w:t>4</w:t>
            </w:r>
            <w:r w:rsidRPr="00D40B0A">
              <w:rPr>
                <w:sz w:val="20"/>
                <w:szCs w:val="20"/>
                <w:vertAlign w:val="superscript"/>
              </w:rPr>
              <w:t>th</w:t>
            </w:r>
            <w:r w:rsidRPr="00D40B0A">
              <w:rPr>
                <w:sz w:val="20"/>
                <w:szCs w:val="20"/>
              </w:rPr>
              <w:t xml:space="preserve"> October Leeds (North)</w:t>
            </w:r>
          </w:p>
          <w:p w14:paraId="317D372C" w14:textId="36AACB57" w:rsidR="00D40B0A" w:rsidRPr="00D40B0A" w:rsidRDefault="00D40B0A" w:rsidP="00D40B0A">
            <w:pPr>
              <w:spacing w:after="0"/>
              <w:rPr>
                <w:sz w:val="20"/>
                <w:szCs w:val="20"/>
              </w:rPr>
            </w:pPr>
            <w:r w:rsidRPr="00D40B0A">
              <w:rPr>
                <w:sz w:val="20"/>
                <w:szCs w:val="20"/>
              </w:rPr>
              <w:t>7</w:t>
            </w:r>
            <w:r w:rsidRPr="00D40B0A">
              <w:rPr>
                <w:sz w:val="20"/>
                <w:szCs w:val="20"/>
                <w:vertAlign w:val="superscript"/>
              </w:rPr>
              <w:t>th</w:t>
            </w:r>
            <w:r w:rsidRPr="00D40B0A">
              <w:rPr>
                <w:sz w:val="20"/>
                <w:szCs w:val="20"/>
              </w:rPr>
              <w:t xml:space="preserve"> October Sixways (Midlands)</w:t>
            </w:r>
          </w:p>
        </w:tc>
      </w:tr>
      <w:tr w:rsidR="00D40B0A" w:rsidRPr="00C35A4B" w14:paraId="0DBDF404" w14:textId="77777777" w:rsidTr="00D40B0A">
        <w:trPr>
          <w:trHeight w:val="280"/>
        </w:trPr>
        <w:tc>
          <w:tcPr>
            <w:tcW w:w="993" w:type="dxa"/>
            <w:vMerge/>
            <w:vAlign w:val="center"/>
          </w:tcPr>
          <w:p w14:paraId="28A5FB12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9D9E03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3C37C9A" w14:textId="3CC0F490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Attended Active in Mind CPD training</w:t>
            </w:r>
          </w:p>
        </w:tc>
        <w:tc>
          <w:tcPr>
            <w:tcW w:w="1984" w:type="dxa"/>
            <w:vAlign w:val="center"/>
          </w:tcPr>
          <w:p w14:paraId="5C5FB61C" w14:textId="0068BD03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Free</w:t>
            </w:r>
          </w:p>
        </w:tc>
        <w:tc>
          <w:tcPr>
            <w:tcW w:w="3261" w:type="dxa"/>
            <w:vAlign w:val="center"/>
          </w:tcPr>
          <w:p w14:paraId="2D9023E6" w14:textId="39285C0A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  <w:highlight w:val="yellow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Sept- Dec 2021</w:t>
            </w:r>
          </w:p>
        </w:tc>
      </w:tr>
      <w:tr w:rsidR="00D40B0A" w:rsidRPr="00C35A4B" w14:paraId="507E634D" w14:textId="77777777" w:rsidTr="00D40B0A">
        <w:trPr>
          <w:trHeight w:val="280"/>
        </w:trPr>
        <w:tc>
          <w:tcPr>
            <w:tcW w:w="993" w:type="dxa"/>
            <w:vMerge/>
            <w:vAlign w:val="center"/>
          </w:tcPr>
          <w:p w14:paraId="01444B62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40C9C9C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62E0D461" w14:textId="0B68E59D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Attended initial Boys Move CPD sessions with national tutors</w:t>
            </w:r>
          </w:p>
        </w:tc>
        <w:tc>
          <w:tcPr>
            <w:tcW w:w="1984" w:type="dxa"/>
            <w:vAlign w:val="center"/>
          </w:tcPr>
          <w:p w14:paraId="75B5224A" w14:textId="2EA05EA6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Free</w:t>
            </w:r>
          </w:p>
        </w:tc>
        <w:tc>
          <w:tcPr>
            <w:tcW w:w="3261" w:type="dxa"/>
            <w:vAlign w:val="center"/>
          </w:tcPr>
          <w:p w14:paraId="66406C0F" w14:textId="5EDA3F24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  <w:highlight w:val="yellow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Oct – Dec 2021</w:t>
            </w:r>
          </w:p>
        </w:tc>
      </w:tr>
      <w:tr w:rsidR="00D40B0A" w:rsidRPr="00C35A4B" w14:paraId="1172CFF6" w14:textId="77777777" w:rsidTr="00D40B0A">
        <w:trPr>
          <w:trHeight w:val="280"/>
        </w:trPr>
        <w:tc>
          <w:tcPr>
            <w:tcW w:w="993" w:type="dxa"/>
            <w:vMerge/>
            <w:vAlign w:val="center"/>
          </w:tcPr>
          <w:p w14:paraId="4B46FF8A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DC632E9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379C166C" w14:textId="4C691E1F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 xml:space="preserve">Deliver Active in Mind virtual mentoring session for new Active in Mind Schools </w:t>
            </w:r>
          </w:p>
        </w:tc>
        <w:tc>
          <w:tcPr>
            <w:tcW w:w="1984" w:type="dxa"/>
            <w:vAlign w:val="center"/>
          </w:tcPr>
          <w:p w14:paraId="07CBBEEB" w14:textId="3D9DAB2E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£250</w:t>
            </w:r>
          </w:p>
        </w:tc>
        <w:tc>
          <w:tcPr>
            <w:tcW w:w="3261" w:type="dxa"/>
            <w:vAlign w:val="center"/>
          </w:tcPr>
          <w:p w14:paraId="7A14F7C9" w14:textId="40F16566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 xml:space="preserve">Nov - Dec 2021 </w:t>
            </w:r>
          </w:p>
        </w:tc>
      </w:tr>
      <w:tr w:rsidR="00D40B0A" w:rsidRPr="00C35A4B" w14:paraId="53C48C1C" w14:textId="77777777" w:rsidTr="00D40B0A">
        <w:trPr>
          <w:trHeight w:val="276"/>
        </w:trPr>
        <w:tc>
          <w:tcPr>
            <w:tcW w:w="993" w:type="dxa"/>
            <w:vMerge w:val="restart"/>
            <w:vAlign w:val="center"/>
          </w:tcPr>
          <w:p w14:paraId="7CA0C03E" w14:textId="5D76DA96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Spring 2022</w:t>
            </w:r>
          </w:p>
        </w:tc>
        <w:tc>
          <w:tcPr>
            <w:tcW w:w="1134" w:type="dxa"/>
            <w:vMerge w:val="restart"/>
            <w:vAlign w:val="center"/>
          </w:tcPr>
          <w:p w14:paraId="3DFC0D59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Delivery and Review</w:t>
            </w:r>
          </w:p>
        </w:tc>
        <w:tc>
          <w:tcPr>
            <w:tcW w:w="6662" w:type="dxa"/>
            <w:vAlign w:val="center"/>
          </w:tcPr>
          <w:p w14:paraId="0998EEDF" w14:textId="0387F20C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 xml:space="preserve">Attended </w:t>
            </w:r>
            <w:r w:rsidRPr="00D40B0A">
              <w:rPr>
                <w:rFonts w:eastAsia="Times New Roman"/>
                <w:sz w:val="20"/>
                <w:szCs w:val="20"/>
              </w:rPr>
              <w:t xml:space="preserve">final </w:t>
            </w:r>
            <w:r w:rsidRPr="00D40B0A">
              <w:rPr>
                <w:rFonts w:eastAsia="Times New Roman"/>
                <w:sz w:val="20"/>
                <w:szCs w:val="20"/>
              </w:rPr>
              <w:t>Boys Move CPD sessions with national tutors</w:t>
            </w:r>
          </w:p>
        </w:tc>
        <w:tc>
          <w:tcPr>
            <w:tcW w:w="1984" w:type="dxa"/>
            <w:vAlign w:val="center"/>
          </w:tcPr>
          <w:p w14:paraId="64252B49" w14:textId="2C8D38FA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Free</w:t>
            </w:r>
          </w:p>
        </w:tc>
        <w:tc>
          <w:tcPr>
            <w:tcW w:w="3261" w:type="dxa"/>
            <w:vAlign w:val="center"/>
          </w:tcPr>
          <w:p w14:paraId="4B1084D4" w14:textId="2E67EE13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Jan - Mar 2022</w:t>
            </w:r>
          </w:p>
        </w:tc>
      </w:tr>
      <w:tr w:rsidR="00D40B0A" w:rsidRPr="00C35A4B" w14:paraId="010B8234" w14:textId="77777777" w:rsidTr="00D40B0A">
        <w:trPr>
          <w:trHeight w:val="276"/>
        </w:trPr>
        <w:tc>
          <w:tcPr>
            <w:tcW w:w="993" w:type="dxa"/>
            <w:vMerge/>
            <w:vAlign w:val="center"/>
          </w:tcPr>
          <w:p w14:paraId="03E372B9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7B4DB8E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0057A0D8" w14:textId="2DE8ED53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Deliver Active in Mind CPD event to local schools</w:t>
            </w:r>
          </w:p>
        </w:tc>
        <w:tc>
          <w:tcPr>
            <w:tcW w:w="1984" w:type="dxa"/>
            <w:vAlign w:val="center"/>
          </w:tcPr>
          <w:p w14:paraId="2731E057" w14:textId="19CA446F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£750</w:t>
            </w:r>
          </w:p>
        </w:tc>
        <w:tc>
          <w:tcPr>
            <w:tcW w:w="3261" w:type="dxa"/>
            <w:vAlign w:val="center"/>
          </w:tcPr>
          <w:p w14:paraId="3CC2322B" w14:textId="00FA8E4D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Jan - Mar 2022</w:t>
            </w:r>
          </w:p>
        </w:tc>
      </w:tr>
      <w:tr w:rsidR="00D40B0A" w:rsidRPr="00C35A4B" w14:paraId="3E17382C" w14:textId="77777777" w:rsidTr="00D40B0A">
        <w:tc>
          <w:tcPr>
            <w:tcW w:w="993" w:type="dxa"/>
            <w:vMerge/>
            <w:vAlign w:val="center"/>
          </w:tcPr>
          <w:p w14:paraId="363FF8DF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3B4FAA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316BFFA1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Submit national data collection</w:t>
            </w:r>
          </w:p>
        </w:tc>
        <w:tc>
          <w:tcPr>
            <w:tcW w:w="1984" w:type="dxa"/>
            <w:vAlign w:val="center"/>
          </w:tcPr>
          <w:p w14:paraId="7E2BA9DC" w14:textId="5D8532FF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3261" w:type="dxa"/>
            <w:vAlign w:val="center"/>
          </w:tcPr>
          <w:p w14:paraId="173A9949" w14:textId="3F781E35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March 2022 (specific dates TBC)</w:t>
            </w:r>
          </w:p>
        </w:tc>
      </w:tr>
      <w:tr w:rsidR="00D40B0A" w:rsidRPr="00C35A4B" w14:paraId="13F1E86C" w14:textId="77777777" w:rsidTr="00D40B0A">
        <w:trPr>
          <w:trHeight w:val="302"/>
        </w:trPr>
        <w:tc>
          <w:tcPr>
            <w:tcW w:w="993" w:type="dxa"/>
            <w:vMerge w:val="restart"/>
            <w:vAlign w:val="center"/>
          </w:tcPr>
          <w:p w14:paraId="0F46D137" w14:textId="7DC3EFE0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Summer 2022</w:t>
            </w:r>
          </w:p>
        </w:tc>
        <w:tc>
          <w:tcPr>
            <w:tcW w:w="1134" w:type="dxa"/>
            <w:vMerge w:val="restart"/>
            <w:vAlign w:val="center"/>
          </w:tcPr>
          <w:p w14:paraId="2AD4D744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Review and Planning</w:t>
            </w:r>
          </w:p>
        </w:tc>
        <w:tc>
          <w:tcPr>
            <w:tcW w:w="6662" w:type="dxa"/>
            <w:vAlign w:val="center"/>
          </w:tcPr>
          <w:p w14:paraId="42530C97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Regional Lead School Conferences</w:t>
            </w:r>
          </w:p>
        </w:tc>
        <w:tc>
          <w:tcPr>
            <w:tcW w:w="1984" w:type="dxa"/>
            <w:vAlign w:val="center"/>
          </w:tcPr>
          <w:p w14:paraId="2F3FD635" w14:textId="6CF9C181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Free</w:t>
            </w:r>
          </w:p>
        </w:tc>
        <w:tc>
          <w:tcPr>
            <w:tcW w:w="3261" w:type="dxa"/>
            <w:vAlign w:val="center"/>
          </w:tcPr>
          <w:p w14:paraId="0716E23D" w14:textId="6C2053E8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Virtual engagements (Dates TBC)</w:t>
            </w:r>
          </w:p>
        </w:tc>
      </w:tr>
      <w:tr w:rsidR="00D40B0A" w:rsidRPr="00C35A4B" w14:paraId="5874376A" w14:textId="77777777" w:rsidTr="00D40B0A">
        <w:trPr>
          <w:trHeight w:val="302"/>
        </w:trPr>
        <w:tc>
          <w:tcPr>
            <w:tcW w:w="993" w:type="dxa"/>
            <w:vMerge/>
            <w:vAlign w:val="center"/>
          </w:tcPr>
          <w:p w14:paraId="426E3BCB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9F8BC4E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765CC2D7" w14:textId="65B8F106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D40B0A">
              <w:rPr>
                <w:rFonts w:eastAsia="Times New Roman"/>
                <w:b/>
                <w:bCs/>
                <w:sz w:val="20"/>
                <w:szCs w:val="20"/>
              </w:rPr>
              <w:t>Completion of 2021/2022 delivery of deliverables</w:t>
            </w:r>
          </w:p>
        </w:tc>
        <w:tc>
          <w:tcPr>
            <w:tcW w:w="1984" w:type="dxa"/>
            <w:vAlign w:val="center"/>
          </w:tcPr>
          <w:p w14:paraId="67486427" w14:textId="7293C529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N/A</w:t>
            </w:r>
          </w:p>
        </w:tc>
        <w:tc>
          <w:tcPr>
            <w:tcW w:w="3261" w:type="dxa"/>
            <w:vAlign w:val="center"/>
          </w:tcPr>
          <w:p w14:paraId="5FABAF62" w14:textId="3F096A86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D40B0A">
              <w:rPr>
                <w:rFonts w:eastAsia="Times New Roman"/>
                <w:b/>
                <w:bCs/>
                <w:sz w:val="20"/>
                <w:szCs w:val="20"/>
              </w:rPr>
              <w:t>31</w:t>
            </w:r>
            <w:r w:rsidRPr="00D40B0A">
              <w:rPr>
                <w:rFonts w:eastAsia="Times New Roman"/>
                <w:b/>
                <w:bCs/>
                <w:sz w:val="20"/>
                <w:szCs w:val="20"/>
                <w:vertAlign w:val="superscript"/>
              </w:rPr>
              <w:t>st</w:t>
            </w:r>
            <w:r w:rsidRPr="00D40B0A">
              <w:rPr>
                <w:rFonts w:eastAsia="Times New Roman"/>
                <w:b/>
                <w:bCs/>
                <w:sz w:val="20"/>
                <w:szCs w:val="20"/>
              </w:rPr>
              <w:t xml:space="preserve"> March 2021</w:t>
            </w:r>
          </w:p>
        </w:tc>
      </w:tr>
      <w:tr w:rsidR="00D40B0A" w:rsidRPr="00C35A4B" w14:paraId="499FDCD4" w14:textId="77777777" w:rsidTr="00D40B0A">
        <w:trPr>
          <w:trHeight w:val="302"/>
        </w:trPr>
        <w:tc>
          <w:tcPr>
            <w:tcW w:w="993" w:type="dxa"/>
            <w:vMerge/>
            <w:vAlign w:val="center"/>
          </w:tcPr>
          <w:p w14:paraId="7D7EBE29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252373D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662" w:type="dxa"/>
            <w:vAlign w:val="center"/>
          </w:tcPr>
          <w:p w14:paraId="271DDAE1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Complete and submit national data collection (July)</w:t>
            </w:r>
          </w:p>
        </w:tc>
        <w:tc>
          <w:tcPr>
            <w:tcW w:w="1984" w:type="dxa"/>
            <w:vAlign w:val="center"/>
          </w:tcPr>
          <w:p w14:paraId="619FD657" w14:textId="1A120CF5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N/A</w:t>
            </w:r>
          </w:p>
        </w:tc>
        <w:tc>
          <w:tcPr>
            <w:tcW w:w="3261" w:type="dxa"/>
            <w:vAlign w:val="center"/>
          </w:tcPr>
          <w:p w14:paraId="3F62BAAA" w14:textId="5F372553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sz w:val="20"/>
                <w:szCs w:val="20"/>
              </w:rPr>
            </w:pPr>
            <w:r w:rsidRPr="00D40B0A">
              <w:rPr>
                <w:rFonts w:eastAsia="Times New Roman"/>
                <w:sz w:val="20"/>
                <w:szCs w:val="20"/>
              </w:rPr>
              <w:t>July 2022 (specific dates TBC)</w:t>
            </w:r>
          </w:p>
        </w:tc>
      </w:tr>
      <w:tr w:rsidR="00D40B0A" w:rsidRPr="00C35A4B" w14:paraId="2BC79327" w14:textId="77777777" w:rsidTr="00D40B0A">
        <w:trPr>
          <w:trHeight w:val="302"/>
        </w:trPr>
        <w:tc>
          <w:tcPr>
            <w:tcW w:w="2127" w:type="dxa"/>
            <w:gridSpan w:val="2"/>
            <w:vAlign w:val="center"/>
          </w:tcPr>
          <w:p w14:paraId="2E39F522" w14:textId="7B084FC0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b/>
                <w:bCs/>
              </w:rPr>
            </w:pPr>
            <w:r w:rsidRPr="00D40B0A">
              <w:rPr>
                <w:rFonts w:eastAsia="Times New Roman"/>
                <w:b/>
                <w:bCs/>
              </w:rPr>
              <w:t>TOTAL VALUE</w:t>
            </w:r>
          </w:p>
        </w:tc>
        <w:tc>
          <w:tcPr>
            <w:tcW w:w="6662" w:type="dxa"/>
            <w:vAlign w:val="center"/>
          </w:tcPr>
          <w:p w14:paraId="007DDD04" w14:textId="2F5BE75E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Mixture of capacity funding (£1,000) and free training and resources</w:t>
            </w:r>
          </w:p>
        </w:tc>
        <w:tc>
          <w:tcPr>
            <w:tcW w:w="1984" w:type="dxa"/>
            <w:vAlign w:val="center"/>
          </w:tcPr>
          <w:p w14:paraId="779496C0" w14:textId="6CA5575A" w:rsidR="00D40B0A" w:rsidRPr="00D40B0A" w:rsidRDefault="00D40B0A" w:rsidP="00D40B0A">
            <w:pPr>
              <w:pStyle w:val="NoSpacing"/>
              <w:spacing w:line="276" w:lineRule="auto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£3,650</w:t>
            </w:r>
          </w:p>
        </w:tc>
        <w:tc>
          <w:tcPr>
            <w:tcW w:w="3261" w:type="dxa"/>
            <w:vAlign w:val="center"/>
          </w:tcPr>
          <w:p w14:paraId="1A683BB7" w14:textId="77777777" w:rsidR="00D40B0A" w:rsidRPr="00D40B0A" w:rsidRDefault="00D40B0A" w:rsidP="00D40B0A">
            <w:pPr>
              <w:pStyle w:val="NoSpacing"/>
              <w:spacing w:line="276" w:lineRule="auto"/>
              <w:rPr>
                <w:rFonts w:eastAsia="Times New Roman"/>
                <w:b/>
                <w:bCs/>
              </w:rPr>
            </w:pPr>
          </w:p>
        </w:tc>
      </w:tr>
    </w:tbl>
    <w:p w14:paraId="14E79F63" w14:textId="77777777" w:rsidR="00383279" w:rsidRDefault="00383279" w:rsidP="00D40B0A">
      <w:pPr>
        <w:spacing w:after="0"/>
        <w:rPr>
          <w:rFonts w:cstheme="minorHAnsi"/>
          <w:b/>
          <w:highlight w:val="yellow"/>
          <w:u w:val="single"/>
        </w:rPr>
      </w:pPr>
    </w:p>
    <w:sectPr w:rsidR="00383279" w:rsidSect="005328E1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5D92B8" w14:textId="77777777" w:rsidR="00EF7558" w:rsidRDefault="00EF7558" w:rsidP="006045C4">
      <w:pPr>
        <w:spacing w:after="0" w:line="240" w:lineRule="auto"/>
      </w:pPr>
      <w:r>
        <w:separator/>
      </w:r>
    </w:p>
  </w:endnote>
  <w:endnote w:type="continuationSeparator" w:id="0">
    <w:p w14:paraId="7FC9819D" w14:textId="77777777" w:rsidR="00EF7558" w:rsidRDefault="00EF7558" w:rsidP="00604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48758" w14:textId="77777777" w:rsidR="00EF7558" w:rsidRDefault="00EF7558" w:rsidP="006045C4">
      <w:pPr>
        <w:spacing w:after="0" w:line="240" w:lineRule="auto"/>
      </w:pPr>
      <w:r>
        <w:separator/>
      </w:r>
    </w:p>
  </w:footnote>
  <w:footnote w:type="continuationSeparator" w:id="0">
    <w:p w14:paraId="653E251A" w14:textId="77777777" w:rsidR="00EF7558" w:rsidRDefault="00EF7558" w:rsidP="006045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BD2038" w14:textId="2FC8A3AF" w:rsidR="006045C4" w:rsidRDefault="000B479E" w:rsidP="000B479E">
    <w:pPr>
      <w:pStyle w:val="Header"/>
      <w:jc w:val="center"/>
    </w:pPr>
    <w:r>
      <w:rPr>
        <w:noProof/>
      </w:rPr>
      <w:drawing>
        <wp:inline distT="0" distB="0" distL="0" distR="0" wp14:anchorId="3F3C48EA" wp14:editId="66DF9891">
          <wp:extent cx="1828800" cy="757700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4760" cy="7725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89D5CA" w14:textId="78928D42" w:rsidR="006045C4" w:rsidRDefault="006045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C111D"/>
    <w:multiLevelType w:val="hybridMultilevel"/>
    <w:tmpl w:val="820EB1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A65D17"/>
    <w:multiLevelType w:val="hybridMultilevel"/>
    <w:tmpl w:val="D01A1346"/>
    <w:lvl w:ilvl="0" w:tplc="B29219EA">
      <w:start w:val="1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60E67"/>
    <w:multiLevelType w:val="hybridMultilevel"/>
    <w:tmpl w:val="6D306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567A9"/>
    <w:multiLevelType w:val="hybridMultilevel"/>
    <w:tmpl w:val="3A58B3F4"/>
    <w:lvl w:ilvl="0" w:tplc="EDE63E0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544A3"/>
    <w:multiLevelType w:val="hybridMultilevel"/>
    <w:tmpl w:val="5940506A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7764C5B"/>
    <w:multiLevelType w:val="hybridMultilevel"/>
    <w:tmpl w:val="55D89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35BD0"/>
    <w:multiLevelType w:val="hybridMultilevel"/>
    <w:tmpl w:val="B9127F5A"/>
    <w:lvl w:ilvl="0" w:tplc="29E6AB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1F42D0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B2AA90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B91E576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A6A68A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4CC7C2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100545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AD8702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F634F1E2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CD4FD7"/>
    <w:multiLevelType w:val="hybridMultilevel"/>
    <w:tmpl w:val="7960CEF6"/>
    <w:lvl w:ilvl="0" w:tplc="39A6DF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D22687B"/>
    <w:multiLevelType w:val="hybridMultilevel"/>
    <w:tmpl w:val="037894BA"/>
    <w:lvl w:ilvl="0" w:tplc="C20014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6A267B"/>
    <w:multiLevelType w:val="hybridMultilevel"/>
    <w:tmpl w:val="B7CE137E"/>
    <w:lvl w:ilvl="0" w:tplc="CB54009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516901"/>
    <w:multiLevelType w:val="hybridMultilevel"/>
    <w:tmpl w:val="379E2A12"/>
    <w:lvl w:ilvl="0" w:tplc="08090001">
      <w:start w:val="1"/>
      <w:numFmt w:val="bullet"/>
      <w:lvlText w:val=""/>
      <w:lvlJc w:val="left"/>
      <w:pPr>
        <w:ind w:left="11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11" w15:restartNumberingAfterBreak="0">
    <w:nsid w:val="24353ADD"/>
    <w:multiLevelType w:val="hybridMultilevel"/>
    <w:tmpl w:val="248C53FA"/>
    <w:lvl w:ilvl="0" w:tplc="4AFCFC5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0F1ACC"/>
    <w:multiLevelType w:val="hybridMultilevel"/>
    <w:tmpl w:val="0EA64108"/>
    <w:lvl w:ilvl="0" w:tplc="8158A7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16C19"/>
    <w:multiLevelType w:val="hybridMultilevel"/>
    <w:tmpl w:val="E76A6136"/>
    <w:lvl w:ilvl="0" w:tplc="32AC6C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052B21"/>
    <w:multiLevelType w:val="hybridMultilevel"/>
    <w:tmpl w:val="875A2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7E3939"/>
    <w:multiLevelType w:val="hybridMultilevel"/>
    <w:tmpl w:val="EAB0F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06D79"/>
    <w:multiLevelType w:val="hybridMultilevel"/>
    <w:tmpl w:val="262CD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1D14A9"/>
    <w:multiLevelType w:val="hybridMultilevel"/>
    <w:tmpl w:val="72E2B9F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E26D91"/>
    <w:multiLevelType w:val="hybridMultilevel"/>
    <w:tmpl w:val="6BD66750"/>
    <w:lvl w:ilvl="0" w:tplc="062644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5D6322"/>
    <w:multiLevelType w:val="hybridMultilevel"/>
    <w:tmpl w:val="0CA09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85CA1"/>
    <w:multiLevelType w:val="hybridMultilevel"/>
    <w:tmpl w:val="B9BCE2C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03CF3"/>
    <w:multiLevelType w:val="hybridMultilevel"/>
    <w:tmpl w:val="325A0380"/>
    <w:lvl w:ilvl="0" w:tplc="808CF7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030681"/>
    <w:multiLevelType w:val="hybridMultilevel"/>
    <w:tmpl w:val="49B6527A"/>
    <w:lvl w:ilvl="0" w:tplc="EDE63E08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1C265C"/>
    <w:multiLevelType w:val="hybridMultilevel"/>
    <w:tmpl w:val="A904A03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BD0DC4"/>
    <w:multiLevelType w:val="hybridMultilevel"/>
    <w:tmpl w:val="D108CA86"/>
    <w:lvl w:ilvl="0" w:tplc="6FA0E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26B6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C186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BCCC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43D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C0E9E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6E42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AAF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54A9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B8D7A31"/>
    <w:multiLevelType w:val="hybridMultilevel"/>
    <w:tmpl w:val="25B61C3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F626C0B"/>
    <w:multiLevelType w:val="hybridMultilevel"/>
    <w:tmpl w:val="5AE6C37C"/>
    <w:lvl w:ilvl="0" w:tplc="630EA506">
      <w:start w:val="2"/>
      <w:numFmt w:val="lowerRoman"/>
      <w:lvlText w:val="%1)"/>
      <w:lvlJc w:val="left"/>
      <w:pPr>
        <w:ind w:left="1146" w:hanging="72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AA50912"/>
    <w:multiLevelType w:val="hybridMultilevel"/>
    <w:tmpl w:val="53CC401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3E4C92"/>
    <w:multiLevelType w:val="hybridMultilevel"/>
    <w:tmpl w:val="93328C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9" w15:restartNumberingAfterBreak="0">
    <w:nsid w:val="6C7E6740"/>
    <w:multiLevelType w:val="hybridMultilevel"/>
    <w:tmpl w:val="B4989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627CD6"/>
    <w:multiLevelType w:val="hybridMultilevel"/>
    <w:tmpl w:val="EED86B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072D32"/>
    <w:multiLevelType w:val="hybridMultilevel"/>
    <w:tmpl w:val="18C6C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C54B7"/>
    <w:multiLevelType w:val="hybridMultilevel"/>
    <w:tmpl w:val="75C2FC94"/>
    <w:lvl w:ilvl="0" w:tplc="9F0890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9E692E"/>
    <w:multiLevelType w:val="hybridMultilevel"/>
    <w:tmpl w:val="7658A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2"/>
  </w:num>
  <w:num w:numId="3">
    <w:abstractNumId w:val="8"/>
  </w:num>
  <w:num w:numId="4">
    <w:abstractNumId w:val="4"/>
  </w:num>
  <w:num w:numId="5">
    <w:abstractNumId w:val="33"/>
  </w:num>
  <w:num w:numId="6">
    <w:abstractNumId w:val="16"/>
  </w:num>
  <w:num w:numId="7">
    <w:abstractNumId w:val="2"/>
  </w:num>
  <w:num w:numId="8">
    <w:abstractNumId w:val="5"/>
  </w:num>
  <w:num w:numId="9">
    <w:abstractNumId w:val="1"/>
  </w:num>
  <w:num w:numId="10">
    <w:abstractNumId w:val="10"/>
  </w:num>
  <w:num w:numId="11">
    <w:abstractNumId w:val="0"/>
  </w:num>
  <w:num w:numId="12">
    <w:abstractNumId w:val="17"/>
  </w:num>
  <w:num w:numId="13">
    <w:abstractNumId w:val="21"/>
  </w:num>
  <w:num w:numId="14">
    <w:abstractNumId w:val="12"/>
  </w:num>
  <w:num w:numId="15">
    <w:abstractNumId w:val="28"/>
  </w:num>
  <w:num w:numId="16">
    <w:abstractNumId w:val="19"/>
  </w:num>
  <w:num w:numId="17">
    <w:abstractNumId w:val="31"/>
  </w:num>
  <w:num w:numId="18">
    <w:abstractNumId w:val="23"/>
  </w:num>
  <w:num w:numId="19">
    <w:abstractNumId w:val="25"/>
  </w:num>
  <w:num w:numId="20">
    <w:abstractNumId w:val="20"/>
  </w:num>
  <w:num w:numId="21">
    <w:abstractNumId w:val="3"/>
  </w:num>
  <w:num w:numId="22">
    <w:abstractNumId w:val="22"/>
  </w:num>
  <w:num w:numId="23">
    <w:abstractNumId w:val="15"/>
  </w:num>
  <w:num w:numId="24">
    <w:abstractNumId w:val="13"/>
  </w:num>
  <w:num w:numId="25">
    <w:abstractNumId w:val="26"/>
  </w:num>
  <w:num w:numId="26">
    <w:abstractNumId w:val="11"/>
  </w:num>
  <w:num w:numId="27">
    <w:abstractNumId w:val="27"/>
  </w:num>
  <w:num w:numId="28">
    <w:abstractNumId w:val="29"/>
  </w:num>
  <w:num w:numId="29">
    <w:abstractNumId w:val="7"/>
  </w:num>
  <w:num w:numId="30">
    <w:abstractNumId w:val="14"/>
  </w:num>
  <w:num w:numId="31">
    <w:abstractNumId w:val="30"/>
  </w:num>
  <w:num w:numId="32">
    <w:abstractNumId w:val="9"/>
  </w:num>
  <w:num w:numId="33">
    <w:abstractNumId w:val="18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884"/>
    <w:rsid w:val="000530FB"/>
    <w:rsid w:val="000B479E"/>
    <w:rsid w:val="000F1868"/>
    <w:rsid w:val="00115BB0"/>
    <w:rsid w:val="00123E7C"/>
    <w:rsid w:val="00124511"/>
    <w:rsid w:val="00164ECB"/>
    <w:rsid w:val="00167309"/>
    <w:rsid w:val="001A2653"/>
    <w:rsid w:val="00230147"/>
    <w:rsid w:val="0027765A"/>
    <w:rsid w:val="002A26FB"/>
    <w:rsid w:val="00335B2E"/>
    <w:rsid w:val="003711F4"/>
    <w:rsid w:val="00381882"/>
    <w:rsid w:val="00383279"/>
    <w:rsid w:val="00386C64"/>
    <w:rsid w:val="00395B3A"/>
    <w:rsid w:val="003C5BE3"/>
    <w:rsid w:val="003D313E"/>
    <w:rsid w:val="003E7EC1"/>
    <w:rsid w:val="004B028D"/>
    <w:rsid w:val="004F41EB"/>
    <w:rsid w:val="0051483C"/>
    <w:rsid w:val="005209EC"/>
    <w:rsid w:val="005328E1"/>
    <w:rsid w:val="005958A3"/>
    <w:rsid w:val="005C5F30"/>
    <w:rsid w:val="006045C4"/>
    <w:rsid w:val="006600BE"/>
    <w:rsid w:val="006627C3"/>
    <w:rsid w:val="006638F9"/>
    <w:rsid w:val="006C7738"/>
    <w:rsid w:val="006F31FE"/>
    <w:rsid w:val="007003E1"/>
    <w:rsid w:val="00703F76"/>
    <w:rsid w:val="007A77BF"/>
    <w:rsid w:val="007D3730"/>
    <w:rsid w:val="007F47F9"/>
    <w:rsid w:val="00800353"/>
    <w:rsid w:val="00874B6F"/>
    <w:rsid w:val="008D1EF8"/>
    <w:rsid w:val="008D302E"/>
    <w:rsid w:val="00913133"/>
    <w:rsid w:val="00955FFD"/>
    <w:rsid w:val="009A7A0A"/>
    <w:rsid w:val="009C4426"/>
    <w:rsid w:val="009F1FE4"/>
    <w:rsid w:val="00A42175"/>
    <w:rsid w:val="00AB79A4"/>
    <w:rsid w:val="00AD5697"/>
    <w:rsid w:val="00AE35FA"/>
    <w:rsid w:val="00AF6046"/>
    <w:rsid w:val="00B35226"/>
    <w:rsid w:val="00B67583"/>
    <w:rsid w:val="00C056C9"/>
    <w:rsid w:val="00CC573E"/>
    <w:rsid w:val="00D15E8F"/>
    <w:rsid w:val="00D16CA3"/>
    <w:rsid w:val="00D2208B"/>
    <w:rsid w:val="00D40B0A"/>
    <w:rsid w:val="00D77AF1"/>
    <w:rsid w:val="00DE5EAE"/>
    <w:rsid w:val="00EB6884"/>
    <w:rsid w:val="00EC0991"/>
    <w:rsid w:val="00EF7558"/>
    <w:rsid w:val="00F625D1"/>
    <w:rsid w:val="00F742F9"/>
    <w:rsid w:val="00F94717"/>
    <w:rsid w:val="00F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512EB"/>
  <w15:docId w15:val="{E3EFD537-DB4F-472B-B13A-046AA1104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2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08B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13133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913133"/>
    <w:rPr>
      <w:rFonts w:eastAsiaTheme="minorEastAsia"/>
      <w:lang w:val="en-US"/>
    </w:rPr>
  </w:style>
  <w:style w:type="character" w:styleId="Hyperlink">
    <w:name w:val="Hyperlink"/>
    <w:basedOn w:val="DefaultParagraphFont"/>
    <w:uiPriority w:val="99"/>
    <w:unhideWhenUsed/>
    <w:rsid w:val="0091313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131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0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5C4"/>
  </w:style>
  <w:style w:type="paragraph" w:styleId="Footer">
    <w:name w:val="footer"/>
    <w:basedOn w:val="Normal"/>
    <w:link w:val="FooterChar"/>
    <w:uiPriority w:val="99"/>
    <w:unhideWhenUsed/>
    <w:rsid w:val="006045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45C4"/>
  </w:style>
  <w:style w:type="paragraph" w:styleId="CommentText">
    <w:name w:val="annotation text"/>
    <w:basedOn w:val="Normal"/>
    <w:link w:val="CommentTextChar"/>
    <w:uiPriority w:val="99"/>
    <w:unhideWhenUsed/>
    <w:rsid w:val="00383279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3279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38327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83279"/>
    <w:pPr>
      <w:spacing w:after="0" w:line="240" w:lineRule="auto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3279"/>
    <w:rPr>
      <w:rFonts w:ascii="Calibri" w:eastAsia="Calibri" w:hAnsi="Calibri" w:cs="Calibri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15E8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E8F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E8F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3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165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857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630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58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203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0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77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12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2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Youth Sport Trust</Company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louise.gear</dc:creator>
  <cp:lastModifiedBy>Chris Wright</cp:lastModifiedBy>
  <cp:revision>3</cp:revision>
  <cp:lastPrinted>2020-10-08T13:03:00Z</cp:lastPrinted>
  <dcterms:created xsi:type="dcterms:W3CDTF">2021-05-05T11:47:00Z</dcterms:created>
  <dcterms:modified xsi:type="dcterms:W3CDTF">2021-05-05T12:25:00Z</dcterms:modified>
</cp:coreProperties>
</file>